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6216" w14:textId="6EFC73B2"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color w:val="000000"/>
          <w:kern w:val="0"/>
          <w:sz w:val="23"/>
          <w:szCs w:val="23"/>
          <w:shd w:val="clear" w:color="auto" w:fill="E6E6E6"/>
          <w:lang w:eastAsia="fr-BE"/>
          <w14:ligatures w14:val="none"/>
        </w:rPr>
        <w:br/>
      </w:r>
    </w:p>
    <w:p w14:paraId="37BBCF58" w14:textId="77777777" w:rsidR="00321AF9" w:rsidRPr="00321AF9" w:rsidRDefault="00321AF9" w:rsidP="00321AF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321AF9">
        <w:rPr>
          <w:rFonts w:ascii="Lato" w:eastAsia="Times New Roman" w:hAnsi="Lato" w:cs="Times New Roman"/>
          <w:color w:val="CC3300"/>
          <w:kern w:val="36"/>
          <w:sz w:val="36"/>
          <w:szCs w:val="36"/>
          <w:lang w:eastAsia="fr-BE"/>
          <w14:ligatures w14:val="none"/>
        </w:rPr>
        <w:t xml:space="preserve">Le projet de </w:t>
      </w:r>
      <w:proofErr w:type="spellStart"/>
      <w:r w:rsidRPr="00321AF9">
        <w:rPr>
          <w:rFonts w:ascii="Lato" w:eastAsia="Times New Roman" w:hAnsi="Lato" w:cs="Times New Roman"/>
          <w:color w:val="CC3300"/>
          <w:kern w:val="36"/>
          <w:sz w:val="36"/>
          <w:szCs w:val="36"/>
          <w:lang w:eastAsia="fr-BE"/>
          <w14:ligatures w14:val="none"/>
        </w:rPr>
        <w:t>Glencore</w:t>
      </w:r>
      <w:proofErr w:type="spellEnd"/>
      <w:r w:rsidRPr="00321AF9">
        <w:rPr>
          <w:rFonts w:ascii="Lato" w:eastAsia="Times New Roman" w:hAnsi="Lato" w:cs="Times New Roman"/>
          <w:color w:val="CC3300"/>
          <w:kern w:val="36"/>
          <w:sz w:val="36"/>
          <w:szCs w:val="36"/>
          <w:lang w:eastAsia="fr-BE"/>
          <w14:ligatures w14:val="none"/>
        </w:rPr>
        <w:t xml:space="preserve"> et de Li-Cycle freiné dans son élan</w:t>
      </w:r>
    </w:p>
    <w:p w14:paraId="2D0F0B0D" w14:textId="77777777" w:rsidR="00321AF9" w:rsidRDefault="00321AF9" w:rsidP="00321AF9">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3A871084" w14:textId="65EF6BFF"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color w:val="000000"/>
          <w:kern w:val="0"/>
          <w:sz w:val="23"/>
          <w:szCs w:val="23"/>
          <w:lang w:eastAsia="fr-BE"/>
          <w14:ligatures w14:val="none"/>
        </w:rPr>
        <w:t>Le projet conjoint de </w:t>
      </w:r>
      <w:proofErr w:type="spellStart"/>
      <w:r w:rsidRPr="00321AF9">
        <w:rPr>
          <w:rFonts w:ascii="Lato" w:eastAsia="Times New Roman" w:hAnsi="Lato" w:cs="Times New Roman"/>
          <w:b/>
          <w:bCs/>
          <w:color w:val="000000"/>
          <w:kern w:val="0"/>
          <w:sz w:val="23"/>
          <w:szCs w:val="23"/>
          <w:lang w:eastAsia="fr-BE"/>
          <w14:ligatures w14:val="none"/>
        </w:rPr>
        <w:t>Glencore</w:t>
      </w:r>
      <w:proofErr w:type="spellEnd"/>
      <w:r w:rsidRPr="00321AF9">
        <w:rPr>
          <w:rFonts w:ascii="Lato" w:eastAsia="Times New Roman" w:hAnsi="Lato" w:cs="Times New Roman"/>
          <w:b/>
          <w:bCs/>
          <w:color w:val="000000"/>
          <w:kern w:val="0"/>
          <w:sz w:val="23"/>
          <w:szCs w:val="23"/>
          <w:lang w:eastAsia="fr-BE"/>
          <w14:ligatures w14:val="none"/>
        </w:rPr>
        <w:t> </w:t>
      </w:r>
      <w:r w:rsidRPr="00321AF9">
        <w:rPr>
          <w:rFonts w:ascii="Lato" w:eastAsia="Times New Roman" w:hAnsi="Lato" w:cs="Times New Roman"/>
          <w:color w:val="000000"/>
          <w:kern w:val="0"/>
          <w:sz w:val="23"/>
          <w:szCs w:val="23"/>
          <w:lang w:eastAsia="fr-BE"/>
          <w14:ligatures w14:val="none"/>
        </w:rPr>
        <w:t>et </w:t>
      </w:r>
      <w:r w:rsidRPr="00321AF9">
        <w:rPr>
          <w:rFonts w:ascii="Lato" w:eastAsia="Times New Roman" w:hAnsi="Lato" w:cs="Times New Roman"/>
          <w:b/>
          <w:bCs/>
          <w:color w:val="000000"/>
          <w:kern w:val="0"/>
          <w:sz w:val="23"/>
          <w:szCs w:val="23"/>
          <w:lang w:eastAsia="fr-BE"/>
          <w14:ligatures w14:val="none"/>
        </w:rPr>
        <w:t>Li-Cycle </w:t>
      </w:r>
      <w:r w:rsidRPr="00321AF9">
        <w:rPr>
          <w:rFonts w:ascii="Lato" w:eastAsia="Times New Roman" w:hAnsi="Lato" w:cs="Times New Roman"/>
          <w:color w:val="000000"/>
          <w:kern w:val="0"/>
          <w:sz w:val="23"/>
          <w:szCs w:val="23"/>
          <w:lang w:eastAsia="fr-BE"/>
          <w14:ligatures w14:val="none"/>
        </w:rPr>
        <w:t>pourrait être remis en question, prévient le négociant en matières premières, s’il devait se heurter à des obstacles administratifs, qui mettraient en péril sa stabilité financière. Fin septembre, les deux partenaires ont fait une demande d’autorisation auprès du gouvernement régional de la Sardaigne pour passer à la première phase du projet, celui « </w:t>
      </w:r>
      <w:r w:rsidRPr="00321AF9">
        <w:rPr>
          <w:rFonts w:ascii="Lato" w:eastAsia="Times New Roman" w:hAnsi="Lato" w:cs="Times New Roman"/>
          <w:i/>
          <w:iCs/>
          <w:color w:val="000000"/>
          <w:kern w:val="0"/>
          <w:sz w:val="23"/>
          <w:szCs w:val="23"/>
          <w:lang w:eastAsia="fr-BE"/>
          <w14:ligatures w14:val="none"/>
        </w:rPr>
        <w:t>progressant bien »</w:t>
      </w:r>
      <w:r w:rsidRPr="00321AF9">
        <w:rPr>
          <w:rFonts w:ascii="Lato" w:eastAsia="Times New Roman" w:hAnsi="Lato" w:cs="Times New Roman"/>
          <w:color w:val="000000"/>
          <w:kern w:val="0"/>
          <w:sz w:val="23"/>
          <w:szCs w:val="23"/>
          <w:lang w:eastAsia="fr-BE"/>
          <w14:ligatures w14:val="none"/>
        </w:rPr>
        <w:t>, mais cette dernière a été rejetée.</w:t>
      </w:r>
    </w:p>
    <w:p w14:paraId="6A916461" w14:textId="77777777"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spellStart"/>
      <w:r w:rsidRPr="00321AF9">
        <w:rPr>
          <w:rFonts w:ascii="Lato" w:eastAsia="Times New Roman" w:hAnsi="Lato" w:cs="Times New Roman"/>
          <w:b/>
          <w:bCs/>
          <w:color w:val="000000"/>
          <w:kern w:val="0"/>
          <w:sz w:val="23"/>
          <w:szCs w:val="23"/>
          <w:lang w:eastAsia="fr-BE"/>
          <w14:ligatures w14:val="none"/>
        </w:rPr>
        <w:t>Glencore</w:t>
      </w:r>
      <w:proofErr w:type="spellEnd"/>
      <w:r w:rsidRPr="00321AF9">
        <w:rPr>
          <w:rFonts w:ascii="Lato" w:eastAsia="Times New Roman" w:hAnsi="Lato" w:cs="Times New Roman"/>
          <w:color w:val="000000"/>
          <w:kern w:val="0"/>
          <w:sz w:val="23"/>
          <w:szCs w:val="23"/>
          <w:lang w:eastAsia="fr-BE"/>
          <w14:ligatures w14:val="none"/>
        </w:rPr>
        <w:t> a demandé à avancer au premier semestre 2024 la première phase du projet, qui consiste à produire du carbonate de lithium à partir de 11.000 tonnes de </w:t>
      </w:r>
      <w:r w:rsidRPr="00321AF9">
        <w:rPr>
          <w:rFonts w:ascii="Lato" w:eastAsia="Times New Roman" w:hAnsi="Lato" w:cs="Times New Roman"/>
          <w:i/>
          <w:iCs/>
          <w:color w:val="000000"/>
          <w:kern w:val="0"/>
          <w:sz w:val="23"/>
          <w:szCs w:val="23"/>
          <w:lang w:eastAsia="fr-BE"/>
          <w14:ligatures w14:val="none"/>
        </w:rPr>
        <w:t>black mass </w:t>
      </w:r>
      <w:r w:rsidRPr="00321AF9">
        <w:rPr>
          <w:rFonts w:ascii="Lato" w:eastAsia="Times New Roman" w:hAnsi="Lato" w:cs="Times New Roman"/>
          <w:color w:val="000000"/>
          <w:kern w:val="0"/>
          <w:sz w:val="23"/>
          <w:szCs w:val="23"/>
          <w:lang w:eastAsia="fr-BE"/>
          <w14:ligatures w14:val="none"/>
        </w:rPr>
        <w:t>par an. Au cours de la deuxième phase, l’usine traitera entre 50.000 et 70.000 tonnes de cette </w:t>
      </w:r>
      <w:r w:rsidRPr="00321AF9">
        <w:rPr>
          <w:rFonts w:ascii="Lato" w:eastAsia="Times New Roman" w:hAnsi="Lato" w:cs="Times New Roman"/>
          <w:i/>
          <w:iCs/>
          <w:color w:val="000000"/>
          <w:kern w:val="0"/>
          <w:sz w:val="23"/>
          <w:szCs w:val="23"/>
          <w:lang w:eastAsia="fr-BE"/>
          <w14:ligatures w14:val="none"/>
        </w:rPr>
        <w:t>masse noire</w:t>
      </w:r>
      <w:r w:rsidRPr="00321AF9">
        <w:rPr>
          <w:rFonts w:ascii="Lato" w:eastAsia="Times New Roman" w:hAnsi="Lato" w:cs="Times New Roman"/>
          <w:color w:val="000000"/>
          <w:kern w:val="0"/>
          <w:sz w:val="23"/>
          <w:szCs w:val="23"/>
          <w:lang w:eastAsia="fr-BE"/>
          <w14:ligatures w14:val="none"/>
        </w:rPr>
        <w:t xml:space="preserve"> par an, soit l’équivalent de 36 </w:t>
      </w:r>
      <w:proofErr w:type="gramStart"/>
      <w:r w:rsidRPr="00321AF9">
        <w:rPr>
          <w:rFonts w:ascii="Lato" w:eastAsia="Times New Roman" w:hAnsi="Lato" w:cs="Times New Roman"/>
          <w:color w:val="000000"/>
          <w:kern w:val="0"/>
          <w:sz w:val="23"/>
          <w:szCs w:val="23"/>
          <w:lang w:eastAsia="fr-BE"/>
          <w14:ligatures w14:val="none"/>
        </w:rPr>
        <w:t>GWh</w:t>
      </w:r>
      <w:proofErr w:type="gramEnd"/>
      <w:r w:rsidRPr="00321AF9">
        <w:rPr>
          <w:rFonts w:ascii="Lato" w:eastAsia="Times New Roman" w:hAnsi="Lato" w:cs="Times New Roman"/>
          <w:color w:val="000000"/>
          <w:kern w:val="0"/>
          <w:sz w:val="23"/>
          <w:szCs w:val="23"/>
          <w:lang w:eastAsia="fr-BE"/>
          <w14:ligatures w14:val="none"/>
        </w:rPr>
        <w:t xml:space="preserve"> de capacité énergétique.</w:t>
      </w:r>
    </w:p>
    <w:p w14:paraId="66C4C191" w14:textId="77777777"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color w:val="000000"/>
          <w:kern w:val="0"/>
          <w:sz w:val="23"/>
          <w:szCs w:val="23"/>
          <w:lang w:eastAsia="fr-BE"/>
          <w14:ligatures w14:val="none"/>
        </w:rPr>
        <w:t>Le gouvernement régional a refusé, car il souhaite, avant cela, évaluer l’impact environnemental du projet. </w:t>
      </w:r>
      <w:proofErr w:type="spellStart"/>
      <w:r w:rsidRPr="00321AF9">
        <w:rPr>
          <w:rFonts w:ascii="Lato" w:eastAsia="Times New Roman" w:hAnsi="Lato" w:cs="Times New Roman"/>
          <w:b/>
          <w:bCs/>
          <w:color w:val="000000"/>
          <w:kern w:val="0"/>
          <w:sz w:val="23"/>
          <w:szCs w:val="23"/>
          <w:lang w:eastAsia="fr-BE"/>
          <w14:ligatures w14:val="none"/>
        </w:rPr>
        <w:t>Glencore</w:t>
      </w:r>
      <w:proofErr w:type="spellEnd"/>
      <w:r w:rsidRPr="00321AF9">
        <w:rPr>
          <w:rFonts w:ascii="Lato" w:eastAsia="Times New Roman" w:hAnsi="Lato" w:cs="Times New Roman"/>
          <w:b/>
          <w:bCs/>
          <w:color w:val="000000"/>
          <w:kern w:val="0"/>
          <w:sz w:val="23"/>
          <w:szCs w:val="23"/>
          <w:lang w:eastAsia="fr-BE"/>
          <w14:ligatures w14:val="none"/>
        </w:rPr>
        <w:t> </w:t>
      </w:r>
      <w:r w:rsidRPr="00321AF9">
        <w:rPr>
          <w:rFonts w:ascii="Lato" w:eastAsia="Times New Roman" w:hAnsi="Lato" w:cs="Times New Roman"/>
          <w:color w:val="000000"/>
          <w:kern w:val="0"/>
          <w:sz w:val="23"/>
          <w:szCs w:val="23"/>
          <w:lang w:eastAsia="fr-BE"/>
          <w14:ligatures w14:val="none"/>
        </w:rPr>
        <w:t>s’est dit « </w:t>
      </w:r>
      <w:r w:rsidRPr="00321AF9">
        <w:rPr>
          <w:rFonts w:ascii="Lato" w:eastAsia="Times New Roman" w:hAnsi="Lato" w:cs="Times New Roman"/>
          <w:i/>
          <w:iCs/>
          <w:color w:val="000000"/>
          <w:kern w:val="0"/>
          <w:sz w:val="23"/>
          <w:szCs w:val="23"/>
          <w:lang w:eastAsia="fr-BE"/>
          <w14:ligatures w14:val="none"/>
        </w:rPr>
        <w:t>très déçu </w:t>
      </w:r>
      <w:r w:rsidRPr="00321AF9">
        <w:rPr>
          <w:rFonts w:ascii="Lato" w:eastAsia="Times New Roman" w:hAnsi="Lato" w:cs="Times New Roman"/>
          <w:color w:val="000000"/>
          <w:kern w:val="0"/>
          <w:sz w:val="23"/>
          <w:szCs w:val="23"/>
          <w:lang w:eastAsia="fr-BE"/>
          <w14:ligatures w14:val="none"/>
        </w:rPr>
        <w:t>», arguant que « </w:t>
      </w:r>
      <w:r w:rsidRPr="00321AF9">
        <w:rPr>
          <w:rFonts w:ascii="Lato" w:eastAsia="Times New Roman" w:hAnsi="Lato" w:cs="Times New Roman"/>
          <w:i/>
          <w:iCs/>
          <w:color w:val="000000"/>
          <w:kern w:val="0"/>
          <w:sz w:val="23"/>
          <w:szCs w:val="23"/>
          <w:lang w:eastAsia="fr-BE"/>
          <w14:ligatures w14:val="none"/>
        </w:rPr>
        <w:t>la décision est contradictoire avec la stratégie de l’Italie de développer les ressources en matières premières critiques et les sites en boucle fermée</w:t>
      </w:r>
      <w:r w:rsidRPr="00321AF9">
        <w:rPr>
          <w:rFonts w:ascii="Lato" w:eastAsia="Times New Roman" w:hAnsi="Lato" w:cs="Times New Roman"/>
          <w:color w:val="000000"/>
          <w:kern w:val="0"/>
          <w:sz w:val="23"/>
          <w:szCs w:val="23"/>
          <w:lang w:eastAsia="fr-BE"/>
          <w14:ligatures w14:val="none"/>
        </w:rPr>
        <w:t>. </w:t>
      </w:r>
      <w:proofErr w:type="spellStart"/>
      <w:r w:rsidRPr="00321AF9">
        <w:rPr>
          <w:rFonts w:ascii="Lato" w:eastAsia="Times New Roman" w:hAnsi="Lato" w:cs="Times New Roman"/>
          <w:i/>
          <w:iCs/>
          <w:color w:val="000000"/>
          <w:kern w:val="0"/>
          <w:sz w:val="23"/>
          <w:szCs w:val="23"/>
          <w:lang w:eastAsia="fr-BE"/>
          <w14:ligatures w14:val="none"/>
        </w:rPr>
        <w:t>Glencore</w:t>
      </w:r>
      <w:proofErr w:type="spellEnd"/>
      <w:r w:rsidRPr="00321AF9">
        <w:rPr>
          <w:rFonts w:ascii="Lato" w:eastAsia="Times New Roman" w:hAnsi="Lato" w:cs="Times New Roman"/>
          <w:i/>
          <w:iCs/>
          <w:color w:val="000000"/>
          <w:kern w:val="0"/>
          <w:sz w:val="23"/>
          <w:szCs w:val="23"/>
          <w:lang w:eastAsia="fr-BE"/>
          <w14:ligatures w14:val="none"/>
        </w:rPr>
        <w:t xml:space="preserve"> pourrait envisager d’autres alternatives à ce projet européen de recyclage de batteries, si le processus d’autorisation devait se prolonger et entraîner des retards qui rendraient le projet économiquement non viable </w:t>
      </w:r>
      <w:r w:rsidRPr="00321AF9">
        <w:rPr>
          <w:rFonts w:ascii="Lato" w:eastAsia="Times New Roman" w:hAnsi="Lato" w:cs="Times New Roman"/>
          <w:color w:val="000000"/>
          <w:kern w:val="0"/>
          <w:sz w:val="23"/>
          <w:szCs w:val="23"/>
          <w:lang w:eastAsia="fr-BE"/>
          <w14:ligatures w14:val="none"/>
        </w:rPr>
        <w:t>», a prévenu le porte-parole du groupe.</w:t>
      </w:r>
    </w:p>
    <w:p w14:paraId="2542B9D5" w14:textId="77777777"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color w:val="000000"/>
          <w:kern w:val="0"/>
          <w:sz w:val="23"/>
          <w:szCs w:val="23"/>
          <w:lang w:eastAsia="fr-BE"/>
          <w14:ligatures w14:val="none"/>
        </w:rPr>
        <w:t>Le projet, implanté sur le site de production de plomb et de zinc de </w:t>
      </w:r>
      <w:proofErr w:type="spellStart"/>
      <w:r w:rsidRPr="00321AF9">
        <w:rPr>
          <w:rFonts w:ascii="Lato" w:eastAsia="Times New Roman" w:hAnsi="Lato" w:cs="Times New Roman"/>
          <w:b/>
          <w:bCs/>
          <w:color w:val="000000"/>
          <w:kern w:val="0"/>
          <w:sz w:val="23"/>
          <w:szCs w:val="23"/>
          <w:lang w:eastAsia="fr-BE"/>
          <w14:ligatures w14:val="none"/>
        </w:rPr>
        <w:t>Glencore</w:t>
      </w:r>
      <w:proofErr w:type="spellEnd"/>
      <w:r w:rsidRPr="00321AF9">
        <w:rPr>
          <w:rFonts w:ascii="Lato" w:eastAsia="Times New Roman" w:hAnsi="Lato" w:cs="Times New Roman"/>
          <w:color w:val="000000"/>
          <w:kern w:val="0"/>
          <w:sz w:val="23"/>
          <w:szCs w:val="23"/>
          <w:lang w:eastAsia="fr-BE"/>
          <w14:ligatures w14:val="none"/>
        </w:rPr>
        <w:t xml:space="preserve">, à </w:t>
      </w:r>
      <w:proofErr w:type="spellStart"/>
      <w:r w:rsidRPr="00321AF9">
        <w:rPr>
          <w:rFonts w:ascii="Lato" w:eastAsia="Times New Roman" w:hAnsi="Lato" w:cs="Times New Roman"/>
          <w:color w:val="000000"/>
          <w:kern w:val="0"/>
          <w:sz w:val="23"/>
          <w:szCs w:val="23"/>
          <w:lang w:eastAsia="fr-BE"/>
          <w14:ligatures w14:val="none"/>
        </w:rPr>
        <w:t>Portovesme</w:t>
      </w:r>
      <w:proofErr w:type="spellEnd"/>
      <w:r w:rsidRPr="00321AF9">
        <w:rPr>
          <w:rFonts w:ascii="Lato" w:eastAsia="Times New Roman" w:hAnsi="Lato" w:cs="Times New Roman"/>
          <w:color w:val="000000"/>
          <w:kern w:val="0"/>
          <w:sz w:val="23"/>
          <w:szCs w:val="23"/>
          <w:lang w:eastAsia="fr-BE"/>
          <w14:ligatures w14:val="none"/>
        </w:rPr>
        <w:t xml:space="preserve"> en Italie, a pour ambition de devenir le premier site européen d’approvisionnement de lithium de qualité batterie, avec un objectif de mise en service fin 2026 ou début 2027, avait indiqué le négociant en mai dernier.</w:t>
      </w:r>
    </w:p>
    <w:p w14:paraId="0BDFF846" w14:textId="77777777"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color w:val="000000"/>
          <w:kern w:val="0"/>
          <w:sz w:val="23"/>
          <w:szCs w:val="23"/>
          <w:lang w:eastAsia="fr-BE"/>
          <w14:ligatures w14:val="none"/>
        </w:rPr>
        <w:t> </w:t>
      </w:r>
    </w:p>
    <w:p w14:paraId="2A444B61" w14:textId="77777777"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b/>
          <w:bCs/>
          <w:color w:val="A52A2A"/>
          <w:kern w:val="0"/>
          <w:sz w:val="23"/>
          <w:szCs w:val="23"/>
          <w:lang w:eastAsia="fr-BE"/>
          <w14:ligatures w14:val="none"/>
        </w:rPr>
        <w:t>Le marché de la </w:t>
      </w:r>
      <w:r w:rsidRPr="00321AF9">
        <w:rPr>
          <w:rFonts w:ascii="Lato" w:eastAsia="Times New Roman" w:hAnsi="Lato" w:cs="Times New Roman"/>
          <w:b/>
          <w:bCs/>
          <w:i/>
          <w:iCs/>
          <w:color w:val="A52A2A"/>
          <w:kern w:val="0"/>
          <w:sz w:val="23"/>
          <w:szCs w:val="23"/>
          <w:lang w:eastAsia="fr-BE"/>
          <w14:ligatures w14:val="none"/>
        </w:rPr>
        <w:t>black mass </w:t>
      </w:r>
      <w:r w:rsidRPr="00321AF9">
        <w:rPr>
          <w:rFonts w:ascii="Lato" w:eastAsia="Times New Roman" w:hAnsi="Lato" w:cs="Times New Roman"/>
          <w:b/>
          <w:bCs/>
          <w:color w:val="A52A2A"/>
          <w:kern w:val="0"/>
          <w:sz w:val="23"/>
          <w:szCs w:val="23"/>
          <w:lang w:eastAsia="fr-BE"/>
          <w14:ligatures w14:val="none"/>
        </w:rPr>
        <w:t>se dessine</w:t>
      </w:r>
    </w:p>
    <w:p w14:paraId="190C99B0" w14:textId="77777777"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color w:val="000000"/>
          <w:kern w:val="0"/>
          <w:sz w:val="23"/>
          <w:szCs w:val="23"/>
          <w:lang w:eastAsia="fr-BE"/>
          <w14:ligatures w14:val="none"/>
        </w:rPr>
        <w:t>Les difficultés administratives de </w:t>
      </w:r>
      <w:proofErr w:type="spellStart"/>
      <w:r w:rsidRPr="00321AF9">
        <w:rPr>
          <w:rFonts w:ascii="Lato" w:eastAsia="Times New Roman" w:hAnsi="Lato" w:cs="Times New Roman"/>
          <w:b/>
          <w:bCs/>
          <w:color w:val="000000"/>
          <w:kern w:val="0"/>
          <w:sz w:val="23"/>
          <w:szCs w:val="23"/>
          <w:lang w:eastAsia="fr-BE"/>
          <w14:ligatures w14:val="none"/>
        </w:rPr>
        <w:t>Glencore</w:t>
      </w:r>
      <w:proofErr w:type="spellEnd"/>
      <w:r w:rsidRPr="00321AF9">
        <w:rPr>
          <w:rFonts w:ascii="Lato" w:eastAsia="Times New Roman" w:hAnsi="Lato" w:cs="Times New Roman"/>
          <w:b/>
          <w:bCs/>
          <w:color w:val="000000"/>
          <w:kern w:val="0"/>
          <w:sz w:val="23"/>
          <w:szCs w:val="23"/>
          <w:lang w:eastAsia="fr-BE"/>
          <w14:ligatures w14:val="none"/>
        </w:rPr>
        <w:t> </w:t>
      </w:r>
      <w:r w:rsidRPr="00321AF9">
        <w:rPr>
          <w:rFonts w:ascii="Lato" w:eastAsia="Times New Roman" w:hAnsi="Lato" w:cs="Times New Roman"/>
          <w:color w:val="000000"/>
          <w:kern w:val="0"/>
          <w:sz w:val="23"/>
          <w:szCs w:val="23"/>
          <w:lang w:eastAsia="fr-BE"/>
          <w14:ligatures w14:val="none"/>
        </w:rPr>
        <w:t>interviennent alors que de nombreuses entreprises en Europe prévoient de se lancer dans l’aventure et que l’Union européenne travaille à introduire des objectifs plus stricts concernant le recyclage des matières premières présentes dans les batteries à compter de 2027, et à faire en sorte que la </w:t>
      </w:r>
      <w:r w:rsidRPr="00321AF9">
        <w:rPr>
          <w:rFonts w:ascii="Lato" w:eastAsia="Times New Roman" w:hAnsi="Lato" w:cs="Times New Roman"/>
          <w:i/>
          <w:iCs/>
          <w:color w:val="000000"/>
          <w:kern w:val="0"/>
          <w:sz w:val="23"/>
          <w:szCs w:val="23"/>
          <w:lang w:eastAsia="fr-BE"/>
          <w14:ligatures w14:val="none"/>
        </w:rPr>
        <w:t>masse noire </w:t>
      </w:r>
      <w:r w:rsidRPr="00321AF9">
        <w:rPr>
          <w:rFonts w:ascii="Lato" w:eastAsia="Times New Roman" w:hAnsi="Lato" w:cs="Times New Roman"/>
          <w:color w:val="000000"/>
          <w:kern w:val="0"/>
          <w:sz w:val="23"/>
          <w:szCs w:val="23"/>
          <w:lang w:eastAsia="fr-BE"/>
          <w14:ligatures w14:val="none"/>
        </w:rPr>
        <w:t>soit classée dans la catégorie des « </w:t>
      </w:r>
      <w:r w:rsidRPr="00321AF9">
        <w:rPr>
          <w:rFonts w:ascii="Lato" w:eastAsia="Times New Roman" w:hAnsi="Lato" w:cs="Times New Roman"/>
          <w:i/>
          <w:iCs/>
          <w:color w:val="000000"/>
          <w:kern w:val="0"/>
          <w:sz w:val="23"/>
          <w:szCs w:val="23"/>
          <w:lang w:eastAsia="fr-BE"/>
          <w14:ligatures w14:val="none"/>
        </w:rPr>
        <w:t>déchets dangereux</w:t>
      </w:r>
      <w:r w:rsidRPr="00321AF9">
        <w:rPr>
          <w:rFonts w:ascii="Lato" w:eastAsia="Times New Roman" w:hAnsi="Lato" w:cs="Times New Roman"/>
          <w:color w:val="000000"/>
          <w:kern w:val="0"/>
          <w:sz w:val="23"/>
          <w:szCs w:val="23"/>
          <w:lang w:eastAsia="fr-BE"/>
          <w14:ligatures w14:val="none"/>
        </w:rPr>
        <w:t> », ce qui permettrait de mettre un terme aux exportations vers les pays n'appartenant pas à l'Organisation de coopération et de développement économiques (OCDE).</w:t>
      </w:r>
    </w:p>
    <w:p w14:paraId="1370B96D" w14:textId="77777777" w:rsidR="00321AF9" w:rsidRPr="00321AF9" w:rsidRDefault="00321AF9" w:rsidP="00321AF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21AF9">
        <w:rPr>
          <w:rFonts w:ascii="Lato" w:eastAsia="Times New Roman" w:hAnsi="Lato" w:cs="Times New Roman"/>
          <w:color w:val="000000"/>
          <w:kern w:val="0"/>
          <w:sz w:val="23"/>
          <w:szCs w:val="23"/>
          <w:lang w:eastAsia="fr-BE"/>
          <w14:ligatures w14:val="none"/>
        </w:rPr>
        <w:t>Si l’Europe génère un volume croissant de </w:t>
      </w:r>
      <w:r w:rsidRPr="00321AF9">
        <w:rPr>
          <w:rFonts w:ascii="Lato" w:eastAsia="Times New Roman" w:hAnsi="Lato" w:cs="Times New Roman"/>
          <w:i/>
          <w:iCs/>
          <w:color w:val="000000"/>
          <w:kern w:val="0"/>
          <w:sz w:val="23"/>
          <w:szCs w:val="23"/>
          <w:lang w:eastAsia="fr-BE"/>
          <w14:ligatures w14:val="none"/>
        </w:rPr>
        <w:t>black mass</w:t>
      </w:r>
      <w:r w:rsidRPr="00321AF9">
        <w:rPr>
          <w:rFonts w:ascii="Lato" w:eastAsia="Times New Roman" w:hAnsi="Lato" w:cs="Times New Roman"/>
          <w:color w:val="000000"/>
          <w:kern w:val="0"/>
          <w:sz w:val="23"/>
          <w:szCs w:val="23"/>
          <w:lang w:eastAsia="fr-BE"/>
          <w14:ligatures w14:val="none"/>
        </w:rPr>
        <w:t>, elle manque encore de consommateurs. Mais la situation devrait s’améliorer, au vu des investissements consentis dans ce secteur. Les sites de traitement de </w:t>
      </w:r>
      <w:r w:rsidRPr="00321AF9">
        <w:rPr>
          <w:rFonts w:ascii="Lato" w:eastAsia="Times New Roman" w:hAnsi="Lato" w:cs="Times New Roman"/>
          <w:i/>
          <w:iCs/>
          <w:color w:val="000000"/>
          <w:kern w:val="0"/>
          <w:sz w:val="23"/>
          <w:szCs w:val="23"/>
          <w:lang w:eastAsia="fr-BE"/>
          <w14:ligatures w14:val="none"/>
        </w:rPr>
        <w:t>black mass </w:t>
      </w:r>
      <w:r w:rsidRPr="00321AF9">
        <w:rPr>
          <w:rFonts w:ascii="Lato" w:eastAsia="Times New Roman" w:hAnsi="Lato" w:cs="Times New Roman"/>
          <w:color w:val="000000"/>
          <w:kern w:val="0"/>
          <w:sz w:val="23"/>
          <w:szCs w:val="23"/>
          <w:lang w:eastAsia="fr-BE"/>
          <w14:ligatures w14:val="none"/>
        </w:rPr>
        <w:t>se multiplient en Europe. </w:t>
      </w:r>
      <w:proofErr w:type="spellStart"/>
      <w:r w:rsidRPr="00321AF9">
        <w:rPr>
          <w:rFonts w:ascii="Lato" w:eastAsia="Times New Roman" w:hAnsi="Lato" w:cs="Times New Roman"/>
          <w:b/>
          <w:bCs/>
          <w:color w:val="000000"/>
          <w:kern w:val="0"/>
          <w:sz w:val="23"/>
          <w:szCs w:val="23"/>
          <w:lang w:eastAsia="fr-BE"/>
          <w14:ligatures w14:val="none"/>
        </w:rPr>
        <w:t>Eramet</w:t>
      </w:r>
      <w:proofErr w:type="spellEnd"/>
      <w:r w:rsidRPr="00321AF9">
        <w:rPr>
          <w:rFonts w:ascii="Lato" w:eastAsia="Times New Roman" w:hAnsi="Lato" w:cs="Times New Roman"/>
          <w:b/>
          <w:bCs/>
          <w:color w:val="000000"/>
          <w:kern w:val="0"/>
          <w:sz w:val="23"/>
          <w:szCs w:val="23"/>
          <w:lang w:eastAsia="fr-BE"/>
          <w14:ligatures w14:val="none"/>
        </w:rPr>
        <w:t> </w:t>
      </w:r>
      <w:r w:rsidRPr="00321AF9">
        <w:rPr>
          <w:rFonts w:ascii="Lato" w:eastAsia="Times New Roman" w:hAnsi="Lato" w:cs="Times New Roman"/>
          <w:color w:val="000000"/>
          <w:kern w:val="0"/>
          <w:sz w:val="23"/>
          <w:szCs w:val="23"/>
          <w:lang w:eastAsia="fr-BE"/>
          <w14:ligatures w14:val="none"/>
        </w:rPr>
        <w:t>et </w:t>
      </w:r>
      <w:r w:rsidRPr="00321AF9">
        <w:rPr>
          <w:rFonts w:ascii="Lato" w:eastAsia="Times New Roman" w:hAnsi="Lato" w:cs="Times New Roman"/>
          <w:b/>
          <w:bCs/>
          <w:color w:val="000000"/>
          <w:kern w:val="0"/>
          <w:sz w:val="23"/>
          <w:szCs w:val="23"/>
          <w:lang w:eastAsia="fr-BE"/>
          <w14:ligatures w14:val="none"/>
        </w:rPr>
        <w:t>Suez </w:t>
      </w:r>
      <w:r w:rsidRPr="00321AF9">
        <w:rPr>
          <w:rFonts w:ascii="Lato" w:eastAsia="Times New Roman" w:hAnsi="Lato" w:cs="Times New Roman"/>
          <w:color w:val="000000"/>
          <w:kern w:val="0"/>
          <w:sz w:val="23"/>
          <w:szCs w:val="23"/>
          <w:lang w:eastAsia="fr-BE"/>
          <w14:ligatures w14:val="none"/>
        </w:rPr>
        <w:t>lanceront leur projet en 2025 et les Allemands </w:t>
      </w:r>
      <w:r w:rsidRPr="00321AF9">
        <w:rPr>
          <w:rFonts w:ascii="Lato" w:eastAsia="Times New Roman" w:hAnsi="Lato" w:cs="Times New Roman"/>
          <w:b/>
          <w:bCs/>
          <w:color w:val="000000"/>
          <w:kern w:val="0"/>
          <w:sz w:val="23"/>
          <w:szCs w:val="23"/>
          <w:lang w:eastAsia="fr-BE"/>
          <w14:ligatures w14:val="none"/>
        </w:rPr>
        <w:t>BASF </w:t>
      </w:r>
      <w:r w:rsidRPr="00321AF9">
        <w:rPr>
          <w:rFonts w:ascii="Lato" w:eastAsia="Times New Roman" w:hAnsi="Lato" w:cs="Times New Roman"/>
          <w:color w:val="000000"/>
          <w:kern w:val="0"/>
          <w:sz w:val="23"/>
          <w:szCs w:val="23"/>
          <w:lang w:eastAsia="fr-BE"/>
          <w14:ligatures w14:val="none"/>
        </w:rPr>
        <w:t>et </w:t>
      </w:r>
      <w:proofErr w:type="spellStart"/>
      <w:r w:rsidRPr="00321AF9">
        <w:rPr>
          <w:rFonts w:ascii="Lato" w:eastAsia="Times New Roman" w:hAnsi="Lato" w:cs="Times New Roman"/>
          <w:b/>
          <w:bCs/>
          <w:color w:val="000000"/>
          <w:kern w:val="0"/>
          <w:sz w:val="23"/>
          <w:szCs w:val="23"/>
          <w:lang w:eastAsia="fr-BE"/>
          <w14:ligatures w14:val="none"/>
        </w:rPr>
        <w:t>Torezo</w:t>
      </w:r>
      <w:proofErr w:type="spellEnd"/>
      <w:r w:rsidRPr="00321AF9">
        <w:rPr>
          <w:rFonts w:ascii="Lato" w:eastAsia="Times New Roman" w:hAnsi="Lato" w:cs="Times New Roman"/>
          <w:b/>
          <w:bCs/>
          <w:color w:val="000000"/>
          <w:kern w:val="0"/>
          <w:sz w:val="23"/>
          <w:szCs w:val="23"/>
          <w:lang w:eastAsia="fr-BE"/>
          <w14:ligatures w14:val="none"/>
        </w:rPr>
        <w:t> </w:t>
      </w:r>
      <w:r w:rsidRPr="00321AF9">
        <w:rPr>
          <w:rFonts w:ascii="Lato" w:eastAsia="Times New Roman" w:hAnsi="Lato" w:cs="Times New Roman"/>
          <w:color w:val="000000"/>
          <w:kern w:val="0"/>
          <w:sz w:val="23"/>
          <w:szCs w:val="23"/>
          <w:lang w:eastAsia="fr-BE"/>
          <w14:ligatures w14:val="none"/>
        </w:rPr>
        <w:t>construisent actuellement une usine pilote.</w:t>
      </w:r>
    </w:p>
    <w:p w14:paraId="1E38D1E2"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F9"/>
    <w:rsid w:val="00287462"/>
    <w:rsid w:val="00321A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477"/>
  <w15:chartTrackingRefBased/>
  <w15:docId w15:val="{FECA0364-FD54-4189-9E8C-42DB3B70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2023-10-09T06:15:00Z</dcterms:created>
  <dcterms:modified xsi:type="dcterms:W3CDTF">2023-10-09T06:16:00Z</dcterms:modified>
</cp:coreProperties>
</file>